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附件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参加2020年“智能制造、本质安全”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奖补资金审核工作培训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班人员报名表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062"/>
        <w:gridCol w:w="789"/>
        <w:gridCol w:w="1883"/>
        <w:gridCol w:w="1385"/>
        <w:gridCol w:w="1781"/>
        <w:gridCol w:w="1500"/>
        <w:gridCol w:w="4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  <w:t>所属专业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  <w:t>职称等级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  <w:t>注册地</w:t>
            </w:r>
          </w:p>
        </w:tc>
        <w:tc>
          <w:tcPr>
            <w:tcW w:w="478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7" w:type="dxa"/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before="0" w:beforeLines="0" w:after="0" w:afterLines="0" w:line="600" w:lineRule="exact"/>
        <w:textAlignment w:val="auto"/>
        <w:outlineLvl w:val="9"/>
        <w:rPr>
          <w:rFonts w:ascii="黑体" w:eastAsia="黑体"/>
          <w:sz w:val="28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说明：注册地请填“市内”或“市外。”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C6227"/>
    <w:rsid w:val="0D8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2020-06-18T01:24:00Z</dcterms:created>
  <dc:creator>Lenovo3</dc:creator>
  <cp:lastModifiedBy>Lenovo3</cp:lastModifiedBy>
  <dcterms:modified xsi:type="dcterms:W3CDTF">2020-06-18T01:24:48Z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